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60" w:lineRule="exact"/>
        <w:outlineLvl w:val="0"/>
        <w:rPr>
          <w:rFonts w:ascii="Calibri" w:hAnsi="Calibri" w:eastAsia="宋体" w:cs="Arial"/>
          <w:b/>
          <w:bCs/>
          <w:sz w:val="32"/>
          <w:szCs w:val="32"/>
        </w:rPr>
      </w:pPr>
      <w:r>
        <w:rPr>
          <w:rFonts w:hint="eastAsia" w:ascii="Calibri" w:hAnsi="Calibri" w:eastAsia="宋体" w:cs="Arial"/>
          <w:b/>
          <w:bCs/>
          <w:sz w:val="32"/>
          <w:szCs w:val="32"/>
        </w:rPr>
        <w:t>附件4：</w:t>
      </w:r>
    </w:p>
    <w:p>
      <w:pPr>
        <w:keepNext/>
        <w:keepLines/>
        <w:spacing w:line="460" w:lineRule="exact"/>
        <w:jc w:val="center"/>
        <w:outlineLvl w:val="0"/>
        <w:rPr>
          <w:rFonts w:ascii="Calibri" w:hAnsi="Calibri" w:eastAsia="宋体" w:cs="Arial"/>
          <w:b/>
          <w:bCs/>
          <w:sz w:val="36"/>
          <w:szCs w:val="36"/>
        </w:rPr>
      </w:pPr>
      <w:r>
        <w:rPr>
          <w:rFonts w:hint="eastAsia" w:ascii="Calibri" w:hAnsi="Calibri" w:eastAsia="宋体" w:cs="Arial"/>
          <w:b/>
          <w:bCs/>
          <w:sz w:val="36"/>
          <w:szCs w:val="36"/>
        </w:rPr>
        <w:t>2</w:t>
      </w:r>
      <w:r>
        <w:rPr>
          <w:rFonts w:ascii="Calibri" w:hAnsi="Calibri" w:eastAsia="宋体" w:cs="Arial"/>
          <w:b/>
          <w:bCs/>
          <w:sz w:val="36"/>
          <w:szCs w:val="36"/>
        </w:rPr>
        <w:t>02</w:t>
      </w:r>
      <w:r>
        <w:rPr>
          <w:rFonts w:hint="eastAsia" w:ascii="Calibri" w:hAnsi="Calibri" w:eastAsia="宋体" w:cs="Arial"/>
          <w:b/>
          <w:bCs/>
          <w:sz w:val="36"/>
          <w:szCs w:val="36"/>
        </w:rPr>
        <w:t>1</w:t>
      </w:r>
      <w:r>
        <w:rPr>
          <w:rFonts w:ascii="Calibri" w:hAnsi="Calibri" w:eastAsia="宋体" w:cs="Arial"/>
          <w:b/>
          <w:bCs/>
          <w:sz w:val="36"/>
          <w:szCs w:val="36"/>
        </w:rPr>
        <w:t>-202</w:t>
      </w:r>
      <w:r>
        <w:rPr>
          <w:rFonts w:hint="eastAsia" w:ascii="Calibri" w:hAnsi="Calibri" w:eastAsia="宋体" w:cs="Arial"/>
          <w:b/>
          <w:bCs/>
          <w:sz w:val="36"/>
          <w:szCs w:val="36"/>
        </w:rPr>
        <w:t>2</w:t>
      </w:r>
      <w:r>
        <w:rPr>
          <w:rFonts w:ascii="Calibri" w:hAnsi="Calibri" w:eastAsia="宋体" w:cs="Arial"/>
          <w:b/>
          <w:bCs/>
          <w:sz w:val="36"/>
          <w:szCs w:val="36"/>
        </w:rPr>
        <w:t>年度哈尔滨工业大学先进集体与先进个人</w:t>
      </w:r>
      <w:r>
        <w:rPr>
          <w:rFonts w:hint="eastAsia" w:ascii="Calibri" w:hAnsi="Calibri" w:eastAsia="宋体" w:cs="Arial"/>
          <w:b/>
          <w:bCs/>
          <w:sz w:val="36"/>
          <w:szCs w:val="36"/>
        </w:rPr>
        <w:t>学院（部）评审步骤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1.学生自通知发布之日起，在学工系统申报和审核，登陆方式同奖学金评定登录方式相同（h</w:t>
      </w:r>
      <w:r>
        <w:rPr>
          <w:rFonts w:ascii="仿宋" w:hAnsi="仿宋" w:eastAsia="仿宋" w:cs="Arial"/>
          <w:sz w:val="28"/>
          <w:szCs w:val="28"/>
        </w:rPr>
        <w:t>ttps://</w:t>
      </w:r>
      <w:r>
        <w:rPr>
          <w:rFonts w:hint="eastAsia" w:ascii="仿宋" w:hAnsi="仿宋" w:eastAsia="仿宋" w:cs="Arial"/>
          <w:sz w:val="28"/>
          <w:szCs w:val="28"/>
        </w:rPr>
        <w:t>xg.hit.edu.cn</w:t>
      </w:r>
      <w:r>
        <w:rPr>
          <w:rFonts w:ascii="仿宋" w:hAnsi="仿宋" w:eastAsia="仿宋" w:cs="Arial"/>
          <w:sz w:val="28"/>
          <w:szCs w:val="28"/>
        </w:rPr>
        <w:t>/</w:t>
      </w:r>
      <w:r>
        <w:rPr>
          <w:rFonts w:hint="eastAsia" w:ascii="仿宋" w:hAnsi="仿宋" w:eastAsia="仿宋" w:cs="Arial"/>
          <w:sz w:val="28"/>
          <w:szCs w:val="28"/>
        </w:rPr>
        <w:t>）；参评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社会实践优秀集体（个人）、</w:t>
      </w:r>
      <w:r>
        <w:rPr>
          <w:rFonts w:hint="eastAsia" w:ascii="仿宋" w:hAnsi="仿宋" w:eastAsia="仿宋" w:cs="Arial"/>
          <w:sz w:val="28"/>
          <w:szCs w:val="28"/>
        </w:rPr>
        <w:t>抗疫志愿服务奖、学生五</w:t>
      </w:r>
      <w:r>
        <w:rPr>
          <w:rFonts w:hint="eastAsia" w:ascii="仿宋" w:hAnsi="仿宋" w:eastAsia="仿宋" w:cs="仿宋"/>
          <w:sz w:val="28"/>
          <w:szCs w:val="28"/>
        </w:rPr>
        <w:t>四奖章、优秀专兼职团的工作者、优秀专兼职团的工作者标兵、优秀学生活动指导教师的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可通过线下报送材料方式参与评定，纸质版报送地点为活动中心</w:t>
      </w:r>
      <w:r>
        <w:rPr>
          <w:rFonts w:hint="eastAsia" w:ascii="仿宋" w:hAnsi="仿宋" w:eastAsia="仿宋" w:cs="Arial"/>
          <w:sz w:val="28"/>
          <w:szCs w:val="28"/>
        </w:rPr>
        <w:t>430、电子版报送邮箱为hitgqtzzb@hit.edu.cn。</w:t>
      </w:r>
    </w:p>
    <w:p>
      <w:pPr>
        <w:spacing w:line="460" w:lineRule="exact"/>
        <w:ind w:firstLine="560" w:firstLineChars="200"/>
        <w:rPr>
          <w:rFonts w:hint="default" w:ascii="仿宋" w:hAnsi="仿宋" w:eastAsia="仿宋" w:cs="Arial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2.各学院（部）要根据《附件1：评优奖项设置及比例》的具体要求，认真核查申报者是否具备申报资格、学习成绩及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理论学习情况</w:t>
      </w:r>
    </w:p>
    <w:p>
      <w:pPr>
        <w:spacing w:line="460" w:lineRule="exact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等是否符合申报要求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rial"/>
          <w:sz w:val="28"/>
          <w:szCs w:val="28"/>
        </w:rPr>
        <w:t>事迹材料等是否属实等。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3.各学院（部）需要组织各标兵奖项联评，具体评审方式由学院（部）团委确定。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4.系统中学院（部）评审时间为4月12日—4月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sz w:val="28"/>
          <w:szCs w:val="28"/>
        </w:rPr>
        <w:t>日，逾期将自动关闭评审权限。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5.学生评优结果需在“学生事务→荣誉称号</w:t>
      </w:r>
      <w:bookmarkStart w:id="0" w:name="_GoBack"/>
      <w:bookmarkEnd w:id="0"/>
      <w:r>
        <w:rPr>
          <w:rFonts w:hint="eastAsia" w:ascii="仿宋" w:hAnsi="仿宋" w:eastAsia="仿宋" w:cs="Arial"/>
          <w:sz w:val="28"/>
          <w:szCs w:val="28"/>
        </w:rPr>
        <w:t>管理”下拉菜单中汇总数据，请各学院（部）在4月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sz w:val="28"/>
          <w:szCs w:val="28"/>
        </w:rPr>
        <w:t>日下班前将汇总表（加盖学院（部）团委公章），抗疫志愿服务奖、优秀专兼职团的工作者、优秀专兼职团的工作者标兵、优秀学生活动指导教师、哈工大学生五</w:t>
      </w:r>
      <w:r>
        <w:rPr>
          <w:rFonts w:hint="eastAsia" w:ascii="仿宋" w:hAnsi="仿宋" w:eastAsia="仿宋" w:cs="仿宋"/>
          <w:sz w:val="28"/>
          <w:szCs w:val="28"/>
        </w:rPr>
        <w:t>四奖章的申报表及事迹材料（</w:t>
      </w:r>
      <w:r>
        <w:rPr>
          <w:rFonts w:hint="eastAsia" w:ascii="仿宋" w:hAnsi="仿宋" w:eastAsia="仿宋" w:cs="Arial"/>
          <w:sz w:val="28"/>
          <w:szCs w:val="28"/>
        </w:rPr>
        <w:t>1000字以内）等纸质材料报送至校团委即可，同时在全院范围内对评选情况进行公示。</w:t>
      </w:r>
    </w:p>
    <w:p>
      <w:pPr>
        <w:spacing w:line="46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6.各学院（部）认真审核报送材料，一旦上报不再变更。</w:t>
      </w: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0"/>
    <w:rsid w:val="002368D6"/>
    <w:rsid w:val="002E471C"/>
    <w:rsid w:val="00C457D0"/>
    <w:rsid w:val="00C732A0"/>
    <w:rsid w:val="00F70B46"/>
    <w:rsid w:val="06082619"/>
    <w:rsid w:val="0ECD0063"/>
    <w:rsid w:val="228B53ED"/>
    <w:rsid w:val="33D742B7"/>
    <w:rsid w:val="381272CC"/>
    <w:rsid w:val="401D0076"/>
    <w:rsid w:val="59543EA7"/>
    <w:rsid w:val="5F5C0A1E"/>
    <w:rsid w:val="6D094663"/>
    <w:rsid w:val="7C9E2B2D"/>
    <w:rsid w:val="7EF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4</TotalTime>
  <ScaleCrop>false</ScaleCrop>
  <LinksUpToDate>false</LinksUpToDate>
  <CharactersWithSpaces>588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2022-04-11T08:18:00Z</dcterms:created>
  <dc:creator>ma hw</dc:creator>
  <cp:lastModifiedBy>Jerry</cp:lastModifiedBy>
  <dcterms:modified xsi:type="dcterms:W3CDTF">2022-04-12T01:58:16Z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A3EB85EAC6BD414BAFABF0E49B7CE669</vt:lpwstr>
  </property>
</Properties>
</file>